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158</w:t>
      </w:r>
    </w:p>
    <w:p>
      <w:r>
        <w:t>Bundesgericht (BGE), 1981-04-30, IT</w:t>
      </w:r>
    </w:p>
    <w:p>
      <w:r>
        <w:rPr>
          <w:b/>
        </w:rPr>
        <w:t xml:space="preserve">Quelle: </w:t>
      </w:r>
      <w:r>
        <w:t>https://mcp.opencaselaw.ch/entscheid/bge_108 IV 158</w:t>
      </w:r>
    </w:p>
    <w:p>
      <w:r>
        <w:t>FR: ATF 108 IV 158</w:t>
      </w:r>
    </w:p>
    <w:p>
      <w:r>
        <w:t>IT: DTF 108 IV 158</w:t>
      </w:r>
    </w:p>
    <w:p>
      <w:pPr>
        <w:pStyle w:val="Heading2"/>
      </w:pPr>
      <w:r>
        <w:t>Regeste</w:t>
      </w:r>
    </w:p>
    <w:p>
      <w:r>
        <w:t>Regeste Art. 61, 41 Ziff. 1 StGB: Urteilsveröffentlichung, bedingter Strafvollzug. Ordnet der Richter die Urteilsveröffentlichung im Interesse und zum Schutze der Öffentlichkeit gegen einen freiberuflich tätigen Verurteilten (vorliegend gegen einen Rechtsanwalt) wegen bei der Berufsausübung begangener Delikte an, so kommt ihr überwiegend Massnahmen- und nicht Strafcharakter zu; der bedingte Strafvollzug ist diesfalls ausgeschlossen.</w:t>
      </w:r>
    </w:p>
    <w:p>
      <w:pPr>
        <w:pStyle w:val="Heading2"/>
      </w:pPr>
      <w:r>
        <w:t>Erwägungen</w:t>
      </w:r>
    </w:p>
    <w:p>
      <w:r>
        <w:rPr>
          <w:b/>
        </w:rPr>
        <w:t>E. 1</w:t>
      </w:r>
    </w:p>
    <w:p>
      <w:r>
        <w:t>Ai sensi dell'art 41 n. 1 CP, può essere sospesa l'esecuzione di una pena (sia principale che accessoria), non invece quella di una misura. Il ricorrente lo riconosce, ma fa valere che nella fattispecie la pubblicazione del dispositivo della sentenza non è fondata su di un interesse pubblico prevalente rispetto a quello privato contrario del condannato; trattasi qui, a suo avviso, di una pena accessoria, la cui esecuzione va sospesa per le stesse ragioni che hanno indotto a sospendere l'esecuzione della pena detentiva e dell'esclusione dall'eleggibilità a membro di un'autorità o a funzionario. a) La Corte di cassazione del Tribunale federale ha già stabilito con la propria decisione del 13 novembre 1981 che nel caso del BGE 108 IV 158 S. 160 ricorrente la pubblicazione del dispositivo della sentenza di condanna era consentita allo scopo di mettere in guardia la collettività. Le censure sollevate contro l'ammissibilità e l'adeguatezza di tale sanzione sono pertanto inammissibili nella presente sede. b) Da decidere rimane solamente se la pubblicazione in parola, ordinata senza violazione del diritto federale, vada qualificata come misura o come pena. SCHULTZ (Einführung in den Allgemeinen Teil des Strafrechts, vol. II, 3a ediz., pag. 183) ritiene che, alla stregua della suddivisione delle sanzioni contenuta nel Codice penale, nella pubblicazione della sentenza debba essere ravvisata una misura che, come tale, non può essere oggetto di grazia né essere sospesa condizionalmente. Ma anche se non si vuole attribuire importanza determinante al fatto che, nel sistema seguito dal Codice penale, l'art. 61 ha la sua sede fra le "Altre misure" (art. 57-62) (cfr. DUBS, in Schweizerische Zeitschrift für Strafrecht, 1971 pag. 388 segg.), la natura di misura risulta chiaramente laddove la pubblicazione sia ordinata per mettere in guardia la collettività. In quanto la pubblicazione sia effettivamente giustificata dall'interesse pubblico, il suo carattere di misura (ossia di sanzione disposta a scopo preventivo, e non repressivo) è innegabile. Un'interpretazione corretta dell'art. 61 cpv. 1 CP esclude infatti che tale norma possa essere applicata solamente per soddisfare un'eventuale necessità d'irrogare una pena accessoria. Può rimanere indeciso se una pubblicazione della sentenza stabilita imperativamente da norme di legge possa avere un carattere prevalente di pena, come è stato sostenuto nella Schweizerische Zeitschrift für Strafrecht 1971 pag. 401, con riferimento all'allora vigente art. 102 n. 2 della legge federale sulla circolazione stradale. Avendo la Corte di cassazione del Tribunale federale riconosciuto il 13 novembre 1981 che la pubblicazione del dispositivo della sentenza di condanna poteva essere giustificata nel caso concreto con l'esigenza di tutelare e di mettere in guardia la collettività contro un avvocato che aveva commesso delitti nell'esercizio della sua professione, deve concludersi che tale pubblicazione ha nella fattispecie, quanto meno prevalentemente, carattere di misura. Ne discende che il diniego, per ragioni obiettive, della sospensione condizionale dell'esecuzione è conforme al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